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66645" w14:textId="77777777" w:rsidR="00DF10EF" w:rsidRDefault="00DF10EF" w:rsidP="0047538C">
      <w:pPr>
        <w:pStyle w:val="titlename"/>
        <w:wordWrap w:val="0"/>
      </w:pPr>
      <w:r>
        <w:rPr>
          <w:rFonts w:hint="eastAsia"/>
        </w:rPr>
        <w:t>○津久見市地域子育て支援センター事業実施要綱</w:t>
      </w:r>
    </w:p>
    <w:tbl>
      <w:tblPr>
        <w:tblW w:w="5000" w:type="pct"/>
        <w:tblBorders>
          <w:top w:val="single" w:sz="6" w:space="0" w:color="FFFFFF"/>
          <w:left w:val="single" w:sz="6" w:space="0" w:color="FFFFFF"/>
          <w:bottom w:val="single" w:sz="6" w:space="0" w:color="FFFFFF"/>
          <w:right w:val="single" w:sz="6" w:space="0" w:color="FFFFFF"/>
        </w:tblBorders>
        <w:tblCellMar>
          <w:top w:w="15" w:type="dxa"/>
          <w:left w:w="15" w:type="dxa"/>
          <w:bottom w:w="15" w:type="dxa"/>
          <w:right w:w="15" w:type="dxa"/>
        </w:tblCellMar>
        <w:tblLook w:val="04A0" w:firstRow="1" w:lastRow="0" w:firstColumn="1" w:lastColumn="0" w:noHBand="0" w:noVBand="1"/>
      </w:tblPr>
      <w:tblGrid>
        <w:gridCol w:w="8488"/>
      </w:tblGrid>
      <w:tr w:rsidR="00DF10EF" w14:paraId="4385D14B" w14:textId="77777777">
        <w:tc>
          <w:tcPr>
            <w:tcW w:w="0" w:type="auto"/>
            <w:tcBorders>
              <w:top w:val="single" w:sz="6" w:space="0" w:color="FFFFFF"/>
              <w:bottom w:val="single" w:sz="6" w:space="0" w:color="FFFFFF"/>
            </w:tcBorders>
            <w:vAlign w:val="center"/>
            <w:hideMark/>
          </w:tcPr>
          <w:p w14:paraId="0A1E328C" w14:textId="77777777" w:rsidR="00DF10EF" w:rsidRDefault="00DF10EF" w:rsidP="0047538C">
            <w:pPr>
              <w:wordWrap w:val="0"/>
              <w:jc w:val="right"/>
            </w:pPr>
            <w:r>
              <w:t>(</w:t>
            </w:r>
            <w:r>
              <w:rPr>
                <w:rFonts w:hint="eastAsia"/>
              </w:rPr>
              <w:t>平成</w:t>
            </w:r>
            <w:r>
              <w:t>21</w:t>
            </w:r>
            <w:r>
              <w:rPr>
                <w:rFonts w:hint="eastAsia"/>
              </w:rPr>
              <w:t>年</w:t>
            </w:r>
            <w:r>
              <w:t>12</w:t>
            </w:r>
            <w:r>
              <w:rPr>
                <w:rFonts w:hint="eastAsia"/>
              </w:rPr>
              <w:t>月</w:t>
            </w:r>
            <w:r>
              <w:t>28</w:t>
            </w:r>
            <w:r>
              <w:rPr>
                <w:rFonts w:hint="eastAsia"/>
              </w:rPr>
              <w:t>日告示甲第</w:t>
            </w:r>
            <w:r>
              <w:t>25</w:t>
            </w:r>
            <w:r>
              <w:rPr>
                <w:rFonts w:hint="eastAsia"/>
              </w:rPr>
              <w:t>号</w:t>
            </w:r>
            <w:r>
              <w:t>)</w:t>
            </w:r>
          </w:p>
        </w:tc>
      </w:tr>
    </w:tbl>
    <w:p w14:paraId="7FBAF911" w14:textId="77777777" w:rsidR="00DF10EF" w:rsidRDefault="00DF10EF" w:rsidP="0047538C">
      <w:pPr>
        <w:wordWrap w:val="0"/>
        <w:rPr>
          <w:vanish/>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8488"/>
      </w:tblGrid>
      <w:tr w:rsidR="00DF10EF" w14:paraId="64523D4E" w14:textId="77777777">
        <w:tc>
          <w:tcPr>
            <w:tcW w:w="5000" w:type="pct"/>
            <w:tcBorders>
              <w:top w:val="single" w:sz="6" w:space="0" w:color="FFFFFF"/>
              <w:bottom w:val="single" w:sz="6" w:space="0" w:color="FFFFFF"/>
            </w:tcBorders>
            <w:vAlign w:val="center"/>
            <w:hideMark/>
          </w:tcPr>
          <w:tbl>
            <w:tblPr>
              <w:tblW w:w="0" w:type="auto"/>
              <w:jc w:val="righ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1"/>
            </w:tblGrid>
            <w:tr w:rsidR="00DF10EF" w14:paraId="59AA324B" w14:textId="77777777">
              <w:trPr>
                <w:jc w:val="right"/>
              </w:trPr>
              <w:tc>
                <w:tcPr>
                  <w:tcW w:w="0" w:type="auto"/>
                  <w:tcBorders>
                    <w:top w:val="single" w:sz="6" w:space="0" w:color="FFFFFF"/>
                    <w:left w:val="single" w:sz="6" w:space="0" w:color="FFFFFF"/>
                    <w:bottom w:val="single" w:sz="6" w:space="0" w:color="FFFFFF"/>
                    <w:right w:val="single" w:sz="6" w:space="0" w:color="FFFFFF"/>
                  </w:tcBorders>
                  <w:vAlign w:val="center"/>
                  <w:hideMark/>
                </w:tcPr>
                <w:p w14:paraId="42F204AD" w14:textId="77777777" w:rsidR="00DF10EF" w:rsidRDefault="00DF10EF" w:rsidP="0047538C">
                  <w:pPr>
                    <w:wordWrap w:val="0"/>
                  </w:pPr>
                </w:p>
              </w:tc>
            </w:tr>
          </w:tbl>
          <w:p w14:paraId="71585217" w14:textId="77777777" w:rsidR="00DF10EF" w:rsidRDefault="00DF10EF" w:rsidP="0047538C">
            <w:pPr>
              <w:wordWrap w:val="0"/>
              <w:jc w:val="right"/>
            </w:pPr>
          </w:p>
        </w:tc>
      </w:tr>
    </w:tbl>
    <w:p w14:paraId="4206CA67" w14:textId="77777777" w:rsidR="00DF10EF" w:rsidRDefault="00DF10EF" w:rsidP="0047538C">
      <w:pPr>
        <w:wordWrap w:val="0"/>
        <w:rPr>
          <w:vanish/>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8488"/>
      </w:tblGrid>
      <w:tr w:rsidR="00DF10EF" w14:paraId="3836AE50" w14:textId="77777777">
        <w:tc>
          <w:tcPr>
            <w:tcW w:w="0" w:type="auto"/>
            <w:tcBorders>
              <w:top w:val="single" w:sz="6" w:space="0" w:color="FFFFFF"/>
              <w:bottom w:val="single" w:sz="6" w:space="0" w:color="FFFFFF"/>
            </w:tcBorders>
            <w:vAlign w:val="center"/>
            <w:hideMark/>
          </w:tcPr>
          <w:p w14:paraId="198FAEEE" w14:textId="77777777" w:rsidR="00DF10EF" w:rsidRDefault="00DF10EF" w:rsidP="0047538C">
            <w:pPr>
              <w:wordWrap w:val="0"/>
              <w:jc w:val="right"/>
            </w:pPr>
          </w:p>
        </w:tc>
      </w:tr>
    </w:tbl>
    <w:p w14:paraId="24CA0257" w14:textId="77777777" w:rsidR="00DF10EF" w:rsidRDefault="00DF10EF" w:rsidP="0047538C">
      <w:pPr>
        <w:pStyle w:val="detailindent"/>
        <w:wordWrap w:val="0"/>
      </w:pPr>
      <w:r>
        <w:t>(</w:t>
      </w:r>
      <w:r>
        <w:rPr>
          <w:rFonts w:hint="eastAsia"/>
        </w:rPr>
        <w:t>目的</w:t>
      </w:r>
      <w:r>
        <w:t>)</w:t>
      </w:r>
    </w:p>
    <w:p w14:paraId="74C87DD2" w14:textId="77777777" w:rsidR="00DF10EF" w:rsidRDefault="00DF10EF" w:rsidP="0047538C">
      <w:pPr>
        <w:pStyle w:val="sec0"/>
        <w:wordWrap w:val="0"/>
      </w:pPr>
      <w:r>
        <w:rPr>
          <w:rFonts w:hint="eastAsia"/>
        </w:rPr>
        <w:t>第</w:t>
      </w:r>
      <w:r>
        <w:t>1</w:t>
      </w:r>
      <w:r>
        <w:rPr>
          <w:rFonts w:hint="eastAsia"/>
        </w:rPr>
        <w:t>条　この要綱は、市民が安心して子どもを生み育て、子育てに喜びを感じることができる社会環境を形成し、子育てを地域全体で支援する地域力の創出に寄与することを目的として行う津久見市地域子育て支援センター事業</w:t>
      </w:r>
      <w:r>
        <w:t>(</w:t>
      </w:r>
      <w:r>
        <w:rPr>
          <w:rFonts w:hint="eastAsia"/>
        </w:rPr>
        <w:t>以下「本事業」という。</w:t>
      </w:r>
      <w:r>
        <w:t>)</w:t>
      </w:r>
      <w:r>
        <w:rPr>
          <w:rFonts w:hint="eastAsia"/>
        </w:rPr>
        <w:t>の実施に関し、必要な事項を定めることで、事業の円滑な実施を図ることを目的として制定する。</w:t>
      </w:r>
    </w:p>
    <w:p w14:paraId="4A8FE6A9" w14:textId="77777777" w:rsidR="00DF10EF" w:rsidRDefault="00DF10EF" w:rsidP="0047538C">
      <w:pPr>
        <w:pStyle w:val="detailindent"/>
        <w:wordWrap w:val="0"/>
      </w:pPr>
      <w:r>
        <w:t>(</w:t>
      </w:r>
      <w:r>
        <w:rPr>
          <w:rFonts w:hint="eastAsia"/>
        </w:rPr>
        <w:t>協働による実施</w:t>
      </w:r>
      <w:r>
        <w:t>)</w:t>
      </w:r>
    </w:p>
    <w:p w14:paraId="0D90C786" w14:textId="77777777" w:rsidR="00DF10EF" w:rsidRDefault="00DF10EF" w:rsidP="0047538C">
      <w:pPr>
        <w:pStyle w:val="sec0"/>
        <w:wordWrap w:val="0"/>
      </w:pPr>
      <w:r>
        <w:rPr>
          <w:rFonts w:hint="eastAsia"/>
        </w:rPr>
        <w:t>第</w:t>
      </w:r>
      <w:r>
        <w:t>2</w:t>
      </w:r>
      <w:r>
        <w:rPr>
          <w:rFonts w:hint="eastAsia"/>
        </w:rPr>
        <w:t>条　本事業は、津久見市が本事業の運営者として選定する者</w:t>
      </w:r>
      <w:r>
        <w:t>(</w:t>
      </w:r>
      <w:r>
        <w:rPr>
          <w:rFonts w:hint="eastAsia"/>
        </w:rPr>
        <w:t>以下「運営者」という。</w:t>
      </w:r>
      <w:r>
        <w:t>)</w:t>
      </w:r>
      <w:r>
        <w:rPr>
          <w:rFonts w:hint="eastAsia"/>
        </w:rPr>
        <w:t>とが、互いに理解・尊重し、対等な関係のもとに、事業目的を共有しながら、協働で実施していくものとする。</w:t>
      </w:r>
    </w:p>
    <w:p w14:paraId="06432943" w14:textId="77777777" w:rsidR="00DF10EF" w:rsidRDefault="00DF10EF" w:rsidP="0047538C">
      <w:pPr>
        <w:pStyle w:val="sec0"/>
        <w:wordWrap w:val="0"/>
      </w:pPr>
      <w:r>
        <w:t>2</w:t>
      </w:r>
      <w:r>
        <w:rPr>
          <w:rFonts w:hint="eastAsia"/>
        </w:rPr>
        <w:t xml:space="preserve">　前項の運営者の選定に関する事項は、津久見市長</w:t>
      </w:r>
      <w:r>
        <w:t>(</w:t>
      </w:r>
      <w:r>
        <w:rPr>
          <w:rFonts w:hint="eastAsia"/>
        </w:rPr>
        <w:t>以下「市長」という。</w:t>
      </w:r>
      <w:r>
        <w:t>)</w:t>
      </w:r>
      <w:r>
        <w:rPr>
          <w:rFonts w:hint="eastAsia"/>
        </w:rPr>
        <w:t>が別に定める。</w:t>
      </w:r>
    </w:p>
    <w:p w14:paraId="5992B10D" w14:textId="77777777" w:rsidR="00DF10EF" w:rsidRDefault="00DF10EF" w:rsidP="0047538C">
      <w:pPr>
        <w:pStyle w:val="sec0"/>
        <w:wordWrap w:val="0"/>
      </w:pPr>
      <w:r>
        <w:t>3</w:t>
      </w:r>
      <w:r>
        <w:rPr>
          <w:rFonts w:hint="eastAsia"/>
        </w:rPr>
        <w:t xml:space="preserve">　市長と運営者は、会計年度ごとに委託契約を締結し、市長は運営者に対して契約に基づく事業に係る経費を支払うものとする。</w:t>
      </w:r>
    </w:p>
    <w:p w14:paraId="6B9F2506" w14:textId="77777777" w:rsidR="00DF10EF" w:rsidRDefault="00DF10EF" w:rsidP="0047538C">
      <w:pPr>
        <w:pStyle w:val="detailindent"/>
        <w:wordWrap w:val="0"/>
      </w:pPr>
      <w:r>
        <w:t>(</w:t>
      </w:r>
      <w:r>
        <w:rPr>
          <w:rFonts w:hint="eastAsia"/>
        </w:rPr>
        <w:t>事業内容</w:t>
      </w:r>
      <w:r>
        <w:t>)</w:t>
      </w:r>
    </w:p>
    <w:p w14:paraId="535C4732" w14:textId="77777777" w:rsidR="00DF10EF" w:rsidRDefault="00DF10EF" w:rsidP="0047538C">
      <w:pPr>
        <w:pStyle w:val="sec0"/>
        <w:wordWrap w:val="0"/>
      </w:pPr>
      <w:r>
        <w:rPr>
          <w:rFonts w:hint="eastAsia"/>
        </w:rPr>
        <w:t>第</w:t>
      </w:r>
      <w:r>
        <w:t>3</w:t>
      </w:r>
      <w:r>
        <w:rPr>
          <w:rFonts w:hint="eastAsia"/>
        </w:rPr>
        <w:t>条　本事業の内容は、次の各号に掲げる事業とする。</w:t>
      </w:r>
    </w:p>
    <w:p w14:paraId="16243849" w14:textId="77777777" w:rsidR="00DF10EF" w:rsidRDefault="00DF10EF" w:rsidP="0047538C">
      <w:pPr>
        <w:pStyle w:val="sec1"/>
        <w:wordWrap w:val="0"/>
      </w:pPr>
      <w:bookmarkStart w:id="0" w:name="13000086101000000016"/>
      <w:bookmarkEnd w:id="0"/>
      <w:r>
        <w:t>(1)</w:t>
      </w:r>
      <w:r>
        <w:rPr>
          <w:rFonts w:hint="eastAsia"/>
        </w:rPr>
        <w:t xml:space="preserve">　乳幼児等の遊びと育ちの場及びその保護者の交流の場の提供。</w:t>
      </w:r>
    </w:p>
    <w:p w14:paraId="06900A4F" w14:textId="77777777" w:rsidR="00DF10EF" w:rsidRDefault="00DF10EF" w:rsidP="0047538C">
      <w:pPr>
        <w:pStyle w:val="sec1"/>
        <w:wordWrap w:val="0"/>
      </w:pPr>
      <w:bookmarkStart w:id="1" w:name="13000086101000000020"/>
      <w:bookmarkEnd w:id="1"/>
      <w:r>
        <w:t>(2)</w:t>
      </w:r>
      <w:r>
        <w:rPr>
          <w:rFonts w:hint="eastAsia"/>
        </w:rPr>
        <w:t xml:space="preserve">　子育てに関する相談及び関係機関との連携に関すること</w:t>
      </w:r>
      <w:r>
        <w:t xml:space="preserve"> </w:t>
      </w:r>
      <w:r>
        <w:rPr>
          <w:rFonts w:hint="eastAsia"/>
        </w:rPr>
        <w:t>。</w:t>
      </w:r>
    </w:p>
    <w:p w14:paraId="5EE83E9B" w14:textId="77777777" w:rsidR="00DF10EF" w:rsidRDefault="00DF10EF" w:rsidP="0047538C">
      <w:pPr>
        <w:pStyle w:val="sec1"/>
        <w:wordWrap w:val="0"/>
      </w:pPr>
      <w:bookmarkStart w:id="2" w:name="13000086101000000024"/>
      <w:bookmarkEnd w:id="2"/>
      <w:r>
        <w:t>(3)</w:t>
      </w:r>
      <w:r>
        <w:rPr>
          <w:rFonts w:hint="eastAsia"/>
        </w:rPr>
        <w:t xml:space="preserve">　子育てに関する情報の収集及び提供に関すること</w:t>
      </w:r>
      <w:r>
        <w:t xml:space="preserve"> </w:t>
      </w:r>
      <w:r>
        <w:rPr>
          <w:rFonts w:hint="eastAsia"/>
        </w:rPr>
        <w:t>。</w:t>
      </w:r>
    </w:p>
    <w:p w14:paraId="0EB6AC35" w14:textId="77777777" w:rsidR="00DF10EF" w:rsidRDefault="00DF10EF" w:rsidP="0047538C">
      <w:pPr>
        <w:pStyle w:val="sec1"/>
        <w:wordWrap w:val="0"/>
      </w:pPr>
      <w:bookmarkStart w:id="3" w:name="13000086101000000028"/>
      <w:bookmarkEnd w:id="3"/>
      <w:r>
        <w:t>(4)</w:t>
      </w:r>
      <w:r>
        <w:rPr>
          <w:rFonts w:hint="eastAsia"/>
        </w:rPr>
        <w:t xml:space="preserve">　子育てに関する支援活動を行う者同士の連携に関すること。</w:t>
      </w:r>
    </w:p>
    <w:p w14:paraId="10F93650" w14:textId="77777777" w:rsidR="00DF10EF" w:rsidRDefault="00DF10EF" w:rsidP="0047538C">
      <w:pPr>
        <w:pStyle w:val="sec1"/>
        <w:wordWrap w:val="0"/>
      </w:pPr>
      <w:bookmarkStart w:id="4" w:name="13000086101000000032"/>
      <w:bookmarkEnd w:id="4"/>
      <w:r>
        <w:t>(5)</w:t>
      </w:r>
      <w:r>
        <w:rPr>
          <w:rFonts w:hint="eastAsia"/>
        </w:rPr>
        <w:t xml:space="preserve">　子育てに関する支援活動を行う者の育成支援に関すること。</w:t>
      </w:r>
    </w:p>
    <w:p w14:paraId="43A5525C" w14:textId="77777777" w:rsidR="00DF10EF" w:rsidRDefault="00DF10EF" w:rsidP="0047538C">
      <w:pPr>
        <w:pStyle w:val="sec1"/>
        <w:wordWrap w:val="0"/>
      </w:pPr>
      <w:bookmarkStart w:id="5" w:name="13000086101000000036"/>
      <w:bookmarkEnd w:id="5"/>
      <w:r>
        <w:t>(6)</w:t>
      </w:r>
      <w:r>
        <w:rPr>
          <w:rFonts w:hint="eastAsia"/>
        </w:rPr>
        <w:t xml:space="preserve">　その他子育て支援として、市長が必要と認める事業</w:t>
      </w:r>
      <w:r>
        <w:t xml:space="preserve"> </w:t>
      </w:r>
      <w:r>
        <w:rPr>
          <w:rFonts w:hint="eastAsia"/>
        </w:rPr>
        <w:t>。</w:t>
      </w:r>
    </w:p>
    <w:p w14:paraId="38556F36" w14:textId="77777777" w:rsidR="00DF10EF" w:rsidRDefault="00DF10EF" w:rsidP="0047538C">
      <w:pPr>
        <w:pStyle w:val="detailindent"/>
        <w:wordWrap w:val="0"/>
      </w:pPr>
      <w:r>
        <w:t>(</w:t>
      </w:r>
      <w:r>
        <w:rPr>
          <w:rFonts w:hint="eastAsia"/>
        </w:rPr>
        <w:t>実施施設</w:t>
      </w:r>
      <w:r>
        <w:t>)</w:t>
      </w:r>
    </w:p>
    <w:p w14:paraId="409831A6" w14:textId="77777777" w:rsidR="00DF10EF" w:rsidRDefault="00DF10EF" w:rsidP="0047538C">
      <w:pPr>
        <w:pStyle w:val="sec0"/>
        <w:wordWrap w:val="0"/>
      </w:pPr>
      <w:r>
        <w:rPr>
          <w:rFonts w:hint="eastAsia"/>
        </w:rPr>
        <w:t>第</w:t>
      </w:r>
      <w:r>
        <w:t>4</w:t>
      </w:r>
      <w:r>
        <w:rPr>
          <w:rFonts w:hint="eastAsia"/>
        </w:rPr>
        <w:t>条　本事業は、市長が実施をするに適当と認める施設</w:t>
      </w:r>
      <w:r>
        <w:t>(</w:t>
      </w:r>
      <w:r>
        <w:rPr>
          <w:rFonts w:hint="eastAsia"/>
        </w:rPr>
        <w:t>以下「実施施設」という。</w:t>
      </w:r>
      <w:r>
        <w:t>)</w:t>
      </w:r>
      <w:r>
        <w:rPr>
          <w:rFonts w:hint="eastAsia"/>
        </w:rPr>
        <w:t>において実施するものとする。</w:t>
      </w:r>
    </w:p>
    <w:p w14:paraId="29B58EA3" w14:textId="77777777" w:rsidR="00DF10EF" w:rsidRDefault="00DF10EF" w:rsidP="0047538C">
      <w:pPr>
        <w:pStyle w:val="sec0"/>
        <w:wordWrap w:val="0"/>
      </w:pPr>
      <w:r>
        <w:t>2</w:t>
      </w:r>
      <w:r>
        <w:rPr>
          <w:rFonts w:hint="eastAsia"/>
        </w:rPr>
        <w:t xml:space="preserve">　実施施設には、次の各号に掲げる機能を確保するものとする。</w:t>
      </w:r>
    </w:p>
    <w:p w14:paraId="352DDB2F" w14:textId="77777777" w:rsidR="00DF10EF" w:rsidRDefault="00DF10EF" w:rsidP="0047538C">
      <w:pPr>
        <w:pStyle w:val="sec1"/>
        <w:wordWrap w:val="0"/>
      </w:pPr>
      <w:bookmarkStart w:id="6" w:name="13000086101000000040"/>
      <w:bookmarkEnd w:id="6"/>
      <w:r>
        <w:t>(1)</w:t>
      </w:r>
      <w:r>
        <w:rPr>
          <w:rFonts w:hint="eastAsia"/>
        </w:rPr>
        <w:t xml:space="preserve">　乳幼児等が安全に遊ぶことができ、また保護者が相互に交流できる機能</w:t>
      </w:r>
    </w:p>
    <w:p w14:paraId="3B3E56FE" w14:textId="77777777" w:rsidR="00DF10EF" w:rsidRDefault="00DF10EF" w:rsidP="0047538C">
      <w:pPr>
        <w:pStyle w:val="sec1"/>
        <w:wordWrap w:val="0"/>
      </w:pPr>
      <w:bookmarkStart w:id="7" w:name="13000086101000000044"/>
      <w:bookmarkEnd w:id="7"/>
      <w:r>
        <w:t>(2)</w:t>
      </w:r>
      <w:r>
        <w:rPr>
          <w:rFonts w:hint="eastAsia"/>
        </w:rPr>
        <w:t xml:space="preserve">　乳児のために、他の利用者の利用の妨げとならないよう授乳、おむつ交換等ができる機能</w:t>
      </w:r>
    </w:p>
    <w:p w14:paraId="619C1B99" w14:textId="77777777" w:rsidR="00DF10EF" w:rsidRDefault="00DF10EF" w:rsidP="0047538C">
      <w:pPr>
        <w:pStyle w:val="sec1"/>
        <w:wordWrap w:val="0"/>
      </w:pPr>
      <w:bookmarkStart w:id="8" w:name="13000086101000000048"/>
      <w:bookmarkEnd w:id="8"/>
      <w:r>
        <w:t>(3)</w:t>
      </w:r>
      <w:r>
        <w:rPr>
          <w:rFonts w:hint="eastAsia"/>
        </w:rPr>
        <w:t xml:space="preserve">　子育てに関する相談が必要な者に対し、そのプライバシーの保護に配慮し、相談が可能な機能</w:t>
      </w:r>
    </w:p>
    <w:p w14:paraId="3CDBA7CE" w14:textId="77777777" w:rsidR="00DF10EF" w:rsidRDefault="00DF10EF" w:rsidP="0047538C">
      <w:pPr>
        <w:pStyle w:val="sec1"/>
        <w:wordWrap w:val="0"/>
      </w:pPr>
      <w:bookmarkStart w:id="9" w:name="13000086101000000052"/>
      <w:bookmarkEnd w:id="9"/>
      <w:r>
        <w:t>(4)</w:t>
      </w:r>
      <w:r>
        <w:rPr>
          <w:rFonts w:hint="eastAsia"/>
        </w:rPr>
        <w:t xml:space="preserve">　子育てに関する情報が必要な者が、その情報を容易に得ることができ、また利用者同士が相互に情報交換ができる機能</w:t>
      </w:r>
    </w:p>
    <w:p w14:paraId="51C160E7" w14:textId="77777777" w:rsidR="00DF10EF" w:rsidRDefault="00DF10EF" w:rsidP="0047538C">
      <w:pPr>
        <w:pStyle w:val="sec1"/>
        <w:wordWrap w:val="0"/>
      </w:pPr>
      <w:bookmarkStart w:id="10" w:name="13000086101000000056"/>
      <w:bookmarkEnd w:id="10"/>
      <w:r>
        <w:t>(5)</w:t>
      </w:r>
      <w:r>
        <w:rPr>
          <w:rFonts w:hint="eastAsia"/>
        </w:rPr>
        <w:t xml:space="preserve">　子育てに関する支援活動を行う者が相互に交流し、また情報交換打合せなどができる機能</w:t>
      </w:r>
    </w:p>
    <w:p w14:paraId="02AF5A4F" w14:textId="77777777" w:rsidR="00DF10EF" w:rsidRDefault="00DF10EF" w:rsidP="0047538C">
      <w:pPr>
        <w:pStyle w:val="sec1"/>
        <w:wordWrap w:val="0"/>
      </w:pPr>
      <w:bookmarkStart w:id="11" w:name="13000086101000000060"/>
      <w:bookmarkEnd w:id="11"/>
      <w:r>
        <w:lastRenderedPageBreak/>
        <w:t>(6)</w:t>
      </w:r>
      <w:r>
        <w:rPr>
          <w:rFonts w:hint="eastAsia"/>
        </w:rPr>
        <w:t xml:space="preserve">　子育てに関する支援活動を行う者の育成のため、講座等の実施が可能な機能</w:t>
      </w:r>
    </w:p>
    <w:p w14:paraId="1C283AC1" w14:textId="77777777" w:rsidR="00DF10EF" w:rsidRDefault="00DF10EF" w:rsidP="0047538C">
      <w:pPr>
        <w:pStyle w:val="sec1"/>
        <w:wordWrap w:val="0"/>
      </w:pPr>
      <w:bookmarkStart w:id="12" w:name="13000086101000000064"/>
      <w:bookmarkEnd w:id="12"/>
      <w:r>
        <w:t>(7)</w:t>
      </w:r>
      <w:r>
        <w:rPr>
          <w:rFonts w:hint="eastAsia"/>
        </w:rPr>
        <w:t xml:space="preserve">　その他市長が必要と認める機能</w:t>
      </w:r>
    </w:p>
    <w:p w14:paraId="4E62BE7A" w14:textId="77777777" w:rsidR="00DF10EF" w:rsidRDefault="00DF10EF" w:rsidP="0047538C">
      <w:pPr>
        <w:pStyle w:val="sec0"/>
        <w:wordWrap w:val="0"/>
      </w:pPr>
      <w:r>
        <w:t>3</w:t>
      </w:r>
      <w:r>
        <w:rPr>
          <w:rFonts w:hint="eastAsia"/>
        </w:rPr>
        <w:t xml:space="preserve">　実施施設の床面積は、おおむね</w:t>
      </w:r>
      <w:r>
        <w:t>10</w:t>
      </w:r>
      <w:r>
        <w:rPr>
          <w:rFonts w:hint="eastAsia"/>
        </w:rPr>
        <w:t>組の乳児又は幼児及びその保護者が一度に利用することが差し支えない程度の十分な広さを有すること。</w:t>
      </w:r>
    </w:p>
    <w:p w14:paraId="3D324049" w14:textId="77777777" w:rsidR="00DF10EF" w:rsidRDefault="00DF10EF" w:rsidP="0047538C">
      <w:pPr>
        <w:pStyle w:val="sec0"/>
        <w:wordWrap w:val="0"/>
      </w:pPr>
      <w:r>
        <w:t>4</w:t>
      </w:r>
      <w:r>
        <w:rPr>
          <w:rFonts w:hint="eastAsia"/>
        </w:rPr>
        <w:t xml:space="preserve">　実施施設は、高齢者、身体障害者等が円滑に利用できるよう、バリアフリー対策を講じること。</w:t>
      </w:r>
    </w:p>
    <w:p w14:paraId="4BD914EC" w14:textId="77777777" w:rsidR="00DF10EF" w:rsidRDefault="00DF10EF" w:rsidP="0047538C">
      <w:pPr>
        <w:pStyle w:val="detailindent"/>
        <w:wordWrap w:val="0"/>
      </w:pPr>
      <w:r>
        <w:t>(</w:t>
      </w:r>
      <w:r>
        <w:rPr>
          <w:rFonts w:hint="eastAsia"/>
        </w:rPr>
        <w:t>事業の実施時間</w:t>
      </w:r>
      <w:r>
        <w:t>)</w:t>
      </w:r>
    </w:p>
    <w:p w14:paraId="62048ADB" w14:textId="77777777" w:rsidR="00DF10EF" w:rsidRDefault="00DF10EF" w:rsidP="0047538C">
      <w:pPr>
        <w:pStyle w:val="sec0"/>
        <w:wordWrap w:val="0"/>
      </w:pPr>
      <w:r>
        <w:rPr>
          <w:rFonts w:hint="eastAsia"/>
        </w:rPr>
        <w:t>第</w:t>
      </w:r>
      <w:r>
        <w:t>5</w:t>
      </w:r>
      <w:r>
        <w:rPr>
          <w:rFonts w:hint="eastAsia"/>
        </w:rPr>
        <w:t>条　実施事業は原則として、</w:t>
      </w:r>
      <w:r w:rsidR="006134D6">
        <w:rPr>
          <w:rFonts w:hint="eastAsia"/>
        </w:rPr>
        <w:t>月曜日から日曜日までのうち週</w:t>
      </w:r>
      <w:r w:rsidR="006134D6">
        <w:t>5</w:t>
      </w:r>
      <w:r w:rsidR="006134D6">
        <w:rPr>
          <w:rFonts w:hint="eastAsia"/>
        </w:rPr>
        <w:t>日以上</w:t>
      </w:r>
      <w:r>
        <w:rPr>
          <w:rFonts w:hint="eastAsia"/>
        </w:rPr>
        <w:t>実施するものとし、休業する曜日を設ける場合には、あらかじめ曜日を決め、休業日として定めなければならない。</w:t>
      </w:r>
    </w:p>
    <w:p w14:paraId="634FEDB1" w14:textId="77777777" w:rsidR="00DF10EF" w:rsidRDefault="00DF10EF" w:rsidP="0047538C">
      <w:pPr>
        <w:pStyle w:val="sec0"/>
        <w:wordWrap w:val="0"/>
      </w:pPr>
      <w:r>
        <w:t>2</w:t>
      </w:r>
      <w:r>
        <w:rPr>
          <w:rFonts w:hint="eastAsia"/>
        </w:rPr>
        <w:t xml:space="preserve">　前項の規定に基づき定めた休業日の他に、次の各号に掲げる日は休業日とすることができる。ただし、当該休業日が前項の規定に基づき定めた休業日にあたるときは、翌日が実施日であった場合には、その日を休業日とすることができる。</w:t>
      </w:r>
    </w:p>
    <w:p w14:paraId="0C5E7BFE" w14:textId="77777777" w:rsidR="00DF10EF" w:rsidRDefault="00DF10EF" w:rsidP="0047538C">
      <w:pPr>
        <w:pStyle w:val="sec1"/>
        <w:wordWrap w:val="0"/>
      </w:pPr>
      <w:bookmarkStart w:id="13" w:name="13000086101000000076"/>
      <w:bookmarkEnd w:id="13"/>
      <w:r>
        <w:t>(1)</w:t>
      </w:r>
      <w:r>
        <w:rPr>
          <w:rFonts w:hint="eastAsia"/>
        </w:rPr>
        <w:t xml:space="preserve">　国民の祝日に関する法律（昭和</w:t>
      </w:r>
      <w:r>
        <w:t>23</w:t>
      </w:r>
      <w:r>
        <w:rPr>
          <w:rFonts w:hint="eastAsia"/>
        </w:rPr>
        <w:t>年法律第</w:t>
      </w:r>
      <w:r>
        <w:t>178</w:t>
      </w:r>
      <w:r>
        <w:rPr>
          <w:rFonts w:hint="eastAsia"/>
        </w:rPr>
        <w:t>号）に規定する休日</w:t>
      </w:r>
    </w:p>
    <w:p w14:paraId="1FC766D6" w14:textId="77777777" w:rsidR="00DF10EF" w:rsidRDefault="00DF10EF" w:rsidP="0047538C">
      <w:pPr>
        <w:pStyle w:val="sec1"/>
        <w:wordWrap w:val="0"/>
      </w:pPr>
      <w:bookmarkStart w:id="14" w:name="13000086101000000080"/>
      <w:bookmarkEnd w:id="14"/>
      <w:r>
        <w:t>(2)</w:t>
      </w:r>
      <w:r>
        <w:rPr>
          <w:rFonts w:hint="eastAsia"/>
        </w:rPr>
        <w:t xml:space="preserve">　</w:t>
      </w:r>
      <w:r>
        <w:t>12</w:t>
      </w:r>
      <w:r>
        <w:rPr>
          <w:rFonts w:hint="eastAsia"/>
        </w:rPr>
        <w:t>月</w:t>
      </w:r>
      <w:r>
        <w:t>29</w:t>
      </w:r>
      <w:r>
        <w:rPr>
          <w:rFonts w:hint="eastAsia"/>
        </w:rPr>
        <w:t>日から翌年の</w:t>
      </w:r>
      <w:r>
        <w:t>1</w:t>
      </w:r>
      <w:r>
        <w:rPr>
          <w:rFonts w:hint="eastAsia"/>
        </w:rPr>
        <w:t>月</w:t>
      </w:r>
      <w:r>
        <w:t>3</w:t>
      </w:r>
      <w:r>
        <w:rPr>
          <w:rFonts w:hint="eastAsia"/>
        </w:rPr>
        <w:t>日まで</w:t>
      </w:r>
      <w:r>
        <w:t>(</w:t>
      </w:r>
      <w:r>
        <w:rPr>
          <w:rFonts w:hint="eastAsia"/>
        </w:rPr>
        <w:t>前号に掲げる日を除く</w:t>
      </w:r>
      <w:r>
        <w:t>)</w:t>
      </w:r>
    </w:p>
    <w:p w14:paraId="3FC0F5FC" w14:textId="77777777" w:rsidR="00DF10EF" w:rsidRDefault="00DF10EF" w:rsidP="0047538C">
      <w:pPr>
        <w:pStyle w:val="sec0"/>
        <w:wordWrap w:val="0"/>
      </w:pPr>
      <w:r>
        <w:t>3</w:t>
      </w:r>
      <w:r>
        <w:rPr>
          <w:rFonts w:hint="eastAsia"/>
        </w:rPr>
        <w:t xml:space="preserve">　事業の実施時間は、</w:t>
      </w:r>
      <w:r w:rsidR="006134D6">
        <w:rPr>
          <w:rFonts w:hint="eastAsia"/>
        </w:rPr>
        <w:t>午前</w:t>
      </w:r>
      <w:r w:rsidR="006134D6">
        <w:t>9</w:t>
      </w:r>
      <w:r w:rsidR="006134D6">
        <w:rPr>
          <w:rFonts w:hint="eastAsia"/>
        </w:rPr>
        <w:t>時から午後</w:t>
      </w:r>
      <w:r w:rsidR="006134D6">
        <w:t>5</w:t>
      </w:r>
      <w:r w:rsidR="006134D6">
        <w:rPr>
          <w:rFonts w:hint="eastAsia"/>
        </w:rPr>
        <w:t>時までの間で</w:t>
      </w:r>
      <w:r w:rsidR="006134D6">
        <w:t>1</w:t>
      </w:r>
      <w:r w:rsidR="006134D6">
        <w:rPr>
          <w:rFonts w:hint="eastAsia"/>
        </w:rPr>
        <w:t>日</w:t>
      </w:r>
      <w:r w:rsidR="006134D6">
        <w:t>6</w:t>
      </w:r>
      <w:r w:rsidR="006134D6">
        <w:rPr>
          <w:rFonts w:hint="eastAsia"/>
        </w:rPr>
        <w:t>時間以上とする。</w:t>
      </w:r>
    </w:p>
    <w:p w14:paraId="68A9A102" w14:textId="77777777" w:rsidR="00DF10EF" w:rsidRDefault="00DF10EF" w:rsidP="0047538C">
      <w:pPr>
        <w:pStyle w:val="sec0"/>
        <w:wordWrap w:val="0"/>
      </w:pPr>
      <w:r>
        <w:t>4</w:t>
      </w:r>
      <w:r>
        <w:rPr>
          <w:rFonts w:hint="eastAsia"/>
        </w:rPr>
        <w:t xml:space="preserve">　前</w:t>
      </w:r>
      <w:r>
        <w:t>3</w:t>
      </w:r>
      <w:r>
        <w:rPr>
          <w:rFonts w:hint="eastAsia"/>
        </w:rPr>
        <w:t>項の規定に関わらず、市長が必要と認めたときは、実施日及び実施時間を変更し、休業日及び実施時間外に事業を実施し、又は臨時に休業日を定めることができる。</w:t>
      </w:r>
    </w:p>
    <w:p w14:paraId="4E92A91C" w14:textId="77777777" w:rsidR="00DF10EF" w:rsidRDefault="00DF10EF" w:rsidP="0047538C">
      <w:pPr>
        <w:pStyle w:val="detailindent"/>
        <w:wordWrap w:val="0"/>
      </w:pPr>
      <w:r>
        <w:t>(</w:t>
      </w:r>
      <w:r>
        <w:rPr>
          <w:rFonts w:hint="eastAsia"/>
        </w:rPr>
        <w:t>対象者</w:t>
      </w:r>
      <w:r>
        <w:t>)</w:t>
      </w:r>
    </w:p>
    <w:p w14:paraId="6B6E79C6" w14:textId="77777777" w:rsidR="00DF10EF" w:rsidRDefault="00DF10EF" w:rsidP="0047538C">
      <w:pPr>
        <w:pStyle w:val="sec0"/>
        <w:wordWrap w:val="0"/>
      </w:pPr>
      <w:r>
        <w:rPr>
          <w:rFonts w:hint="eastAsia"/>
        </w:rPr>
        <w:t>第</w:t>
      </w:r>
      <w:r>
        <w:t>6</w:t>
      </w:r>
      <w:r>
        <w:rPr>
          <w:rFonts w:hint="eastAsia"/>
        </w:rPr>
        <w:t>条　次の各号のいずれかに該当する者は、事業に参加することができる。</w:t>
      </w:r>
    </w:p>
    <w:p w14:paraId="0842A2A2" w14:textId="77777777" w:rsidR="00DF10EF" w:rsidRDefault="00DF10EF" w:rsidP="0047538C">
      <w:pPr>
        <w:pStyle w:val="sec1"/>
        <w:wordWrap w:val="0"/>
      </w:pPr>
      <w:bookmarkStart w:id="15" w:name="13000086101000000092"/>
      <w:bookmarkEnd w:id="15"/>
      <w:r>
        <w:t>(1)</w:t>
      </w:r>
      <w:r>
        <w:rPr>
          <w:rFonts w:hint="eastAsia"/>
        </w:rPr>
        <w:t xml:space="preserve">　原則として市内に居住する就学前児童及びその保護者</w:t>
      </w:r>
    </w:p>
    <w:p w14:paraId="7F65E482" w14:textId="77777777" w:rsidR="00DF10EF" w:rsidRDefault="00DF10EF" w:rsidP="0047538C">
      <w:pPr>
        <w:pStyle w:val="sec1"/>
        <w:wordWrap w:val="0"/>
      </w:pPr>
      <w:bookmarkStart w:id="16" w:name="13000086101000000096"/>
      <w:bookmarkEnd w:id="16"/>
      <w:r>
        <w:t>(2)</w:t>
      </w:r>
      <w:r>
        <w:rPr>
          <w:rFonts w:hint="eastAsia"/>
        </w:rPr>
        <w:t xml:space="preserve">　原則として市内に居住する子育てに関する支援活動を行う者</w:t>
      </w:r>
      <w:r>
        <w:t>(</w:t>
      </w:r>
      <w:r>
        <w:rPr>
          <w:rFonts w:hint="eastAsia"/>
        </w:rPr>
        <w:t>支援活動を始めようとするものを含む。ただし、営利を目的とした活動を行う者を除く。</w:t>
      </w:r>
      <w:r>
        <w:t>)</w:t>
      </w:r>
    </w:p>
    <w:p w14:paraId="02FC5042" w14:textId="77777777" w:rsidR="00DF10EF" w:rsidRDefault="00DF10EF" w:rsidP="0047538C">
      <w:pPr>
        <w:pStyle w:val="sec1"/>
        <w:wordWrap w:val="0"/>
      </w:pPr>
      <w:bookmarkStart w:id="17" w:name="13000086101000000100"/>
      <w:bookmarkEnd w:id="17"/>
      <w:r>
        <w:t>(3)</w:t>
      </w:r>
      <w:r>
        <w:rPr>
          <w:rFonts w:hint="eastAsia"/>
        </w:rPr>
        <w:t xml:space="preserve">　その他特に市長が必要と認めた者</w:t>
      </w:r>
    </w:p>
    <w:p w14:paraId="249F9F5D" w14:textId="77777777" w:rsidR="00DF10EF" w:rsidRDefault="00DF10EF" w:rsidP="0047538C">
      <w:pPr>
        <w:pStyle w:val="detailindent"/>
        <w:wordWrap w:val="0"/>
      </w:pPr>
      <w:r>
        <w:t>(</w:t>
      </w:r>
      <w:r>
        <w:rPr>
          <w:rFonts w:hint="eastAsia"/>
        </w:rPr>
        <w:t>参加料</w:t>
      </w:r>
      <w:r>
        <w:t>)</w:t>
      </w:r>
    </w:p>
    <w:p w14:paraId="1AB16CC9" w14:textId="77777777" w:rsidR="00DF10EF" w:rsidRDefault="00DF10EF" w:rsidP="0047538C">
      <w:pPr>
        <w:pStyle w:val="sec0"/>
        <w:wordWrap w:val="0"/>
      </w:pPr>
      <w:r>
        <w:rPr>
          <w:rFonts w:hint="eastAsia"/>
        </w:rPr>
        <w:t>第</w:t>
      </w:r>
      <w:r>
        <w:t>7</w:t>
      </w:r>
      <w:r>
        <w:rPr>
          <w:rFonts w:hint="eastAsia"/>
        </w:rPr>
        <w:t>条　実施事業の参加料は、無料とする。ただし、催事、講習・講座等の実施に係る実費等で、特定の個人の利用に係る経費を、運営者が利用者から徴収することは妨げない。</w:t>
      </w:r>
    </w:p>
    <w:p w14:paraId="23A715C4" w14:textId="77777777" w:rsidR="00DF10EF" w:rsidRDefault="00DF10EF" w:rsidP="0047538C">
      <w:pPr>
        <w:pStyle w:val="detailindent"/>
        <w:wordWrap w:val="0"/>
      </w:pPr>
      <w:r>
        <w:t>(</w:t>
      </w:r>
      <w:r>
        <w:rPr>
          <w:rFonts w:hint="eastAsia"/>
        </w:rPr>
        <w:t>その他</w:t>
      </w:r>
      <w:r>
        <w:t>)</w:t>
      </w:r>
    </w:p>
    <w:p w14:paraId="5BFAC343" w14:textId="77777777" w:rsidR="00DF10EF" w:rsidRDefault="00DF10EF" w:rsidP="0047538C">
      <w:pPr>
        <w:pStyle w:val="sec0"/>
        <w:wordWrap w:val="0"/>
      </w:pPr>
      <w:r>
        <w:rPr>
          <w:rFonts w:hint="eastAsia"/>
        </w:rPr>
        <w:t>第</w:t>
      </w:r>
      <w:r>
        <w:t>8</w:t>
      </w:r>
      <w:r>
        <w:rPr>
          <w:rFonts w:hint="eastAsia"/>
        </w:rPr>
        <w:t>条　この要綱の施行に関し必要な事項は、市長が定めるところによる。</w:t>
      </w:r>
    </w:p>
    <w:p w14:paraId="3E21D0FC" w14:textId="77777777" w:rsidR="00DF10EF" w:rsidRDefault="00DF10EF" w:rsidP="0047538C">
      <w:pPr>
        <w:pStyle w:val="sec32"/>
        <w:wordWrap w:val="0"/>
      </w:pPr>
      <w:r>
        <w:rPr>
          <w:rFonts w:hint="eastAsia"/>
        </w:rPr>
        <w:t>附　則</w:t>
      </w:r>
    </w:p>
    <w:p w14:paraId="325B1FC0" w14:textId="77777777" w:rsidR="00DF10EF" w:rsidRDefault="00DF10EF" w:rsidP="0047538C">
      <w:pPr>
        <w:pStyle w:val="stepindent1"/>
        <w:wordWrap w:val="0"/>
      </w:pPr>
      <w:r>
        <w:rPr>
          <w:rFonts w:hint="eastAsia"/>
        </w:rPr>
        <w:t>この告示は、平成</w:t>
      </w:r>
      <w:r>
        <w:t>21</w:t>
      </w:r>
      <w:r>
        <w:rPr>
          <w:rFonts w:hint="eastAsia"/>
        </w:rPr>
        <w:t>年</w:t>
      </w:r>
      <w:r>
        <w:t>12</w:t>
      </w:r>
      <w:r>
        <w:rPr>
          <w:rFonts w:hint="eastAsia"/>
        </w:rPr>
        <w:t>月</w:t>
      </w:r>
      <w:r>
        <w:t>28</w:t>
      </w:r>
      <w:r>
        <w:rPr>
          <w:rFonts w:hint="eastAsia"/>
        </w:rPr>
        <w:t>日から施行する。</w:t>
      </w:r>
    </w:p>
    <w:sectPr w:rsidR="00DF10EF" w:rsidSect="0047538C">
      <w:pgSz w:w="11906" w:h="16838"/>
      <w:pgMar w:top="1984" w:right="1701" w:bottom="1701" w:left="1701" w:header="851" w:footer="992" w:gutter="0"/>
      <w:cols w:space="425"/>
      <w:docGrid w:type="linesAndChars" w:linePitch="328" w:charSpace="6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59B02" w14:textId="77777777" w:rsidR="00576D4E" w:rsidRDefault="00576D4E" w:rsidP="00187AE2">
      <w:r>
        <w:separator/>
      </w:r>
    </w:p>
  </w:endnote>
  <w:endnote w:type="continuationSeparator" w:id="0">
    <w:p w14:paraId="4273BB63" w14:textId="77777777" w:rsidR="00576D4E" w:rsidRDefault="00576D4E" w:rsidP="00187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lr oSVbN">
    <w:panose1 w:val="00000000000000000000"/>
    <w:charset w:val="00"/>
    <w:family w:val="roman"/>
    <w:notTrueType/>
    <w:pitch w:val="default"/>
    <w:sig w:usb0="00000003" w:usb1="00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AFE82" w14:textId="77777777" w:rsidR="00576D4E" w:rsidRDefault="00576D4E" w:rsidP="00187AE2">
      <w:r>
        <w:separator/>
      </w:r>
    </w:p>
  </w:footnote>
  <w:footnote w:type="continuationSeparator" w:id="0">
    <w:p w14:paraId="5B90F43C" w14:textId="77777777" w:rsidR="00576D4E" w:rsidRDefault="00576D4E" w:rsidP="00187A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840"/>
  <w:drawingGridHorizontalSpacing w:val="243"/>
  <w:drawingGridVerticalSpacing w:val="164"/>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AE2"/>
    <w:rsid w:val="00187AE2"/>
    <w:rsid w:val="0047538C"/>
    <w:rsid w:val="00572240"/>
    <w:rsid w:val="00576D4E"/>
    <w:rsid w:val="006134D6"/>
    <w:rsid w:val="00D05280"/>
    <w:rsid w:val="00DF10EF"/>
  </w:rsids>
  <m:mathPr>
    <m:mathFont m:val="Cambria Math"/>
    <m:brkBin m:val="before"/>
    <m:brkBinSub m:val="--"/>
    <m:smallFrac m:val="0"/>
    <m:dispDef/>
    <m:lMargin m:val="0"/>
    <m:rMargin m:val="0"/>
    <m:defJc m:val="centerGroup"/>
    <m:wrapIndent m:val="1440"/>
    <m:intLim m:val="subSup"/>
    <m:naryLim m:val="undOvr"/>
  </m:mathPr>
  <w:attachedSchema w:val="jp.crestec.joureikun.common.resource.FwPropsConstants"/>
  <w:attachedSchema w:val="jp.crestec.joureikun.common.resource.FwProps"/>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43C03D8D"/>
  <w14:defaultImageDpi w14:val="0"/>
  <w15:docId w15:val="{7EAF0661-64E0-4DA5-9ADE-954FB4E2C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ＭＳ 明朝" w:eastAsia="ＭＳ 明朝" w:hAnsi="ＭＳ 明朝" w:cs="ＭＳ 明朝"/>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rFonts w:cs="Times New Roman"/>
      <w:color w:val="0000FF"/>
      <w:u w:val="none"/>
      <w:effect w:val="none"/>
    </w:rPr>
  </w:style>
  <w:style w:type="character" w:styleId="a4">
    <w:name w:val="FollowedHyperlink"/>
    <w:basedOn w:val="a0"/>
    <w:uiPriority w:val="99"/>
    <w:semiHidden/>
    <w:unhideWhenUsed/>
    <w:rPr>
      <w:rFonts w:cs="Times New Roman"/>
      <w:color w:val="0000FF"/>
      <w:u w:val="none"/>
      <w:effect w:val="none"/>
    </w:rPr>
  </w:style>
  <w:style w:type="paragraph" w:customStyle="1" w:styleId="sec">
    <w:name w:val="sec"/>
    <w:basedOn w:val="a"/>
    <w:pPr>
      <w:spacing w:line="336" w:lineRule="atLeast"/>
      <w:ind w:left="240" w:hanging="240"/>
    </w:pPr>
  </w:style>
  <w:style w:type="paragraph" w:customStyle="1" w:styleId="sec0">
    <w:name w:val="sec0"/>
    <w:basedOn w:val="a"/>
    <w:pPr>
      <w:spacing w:line="336" w:lineRule="atLeast"/>
      <w:ind w:left="240" w:hanging="240"/>
    </w:pPr>
  </w:style>
  <w:style w:type="paragraph" w:customStyle="1" w:styleId="sec1">
    <w:name w:val="sec1"/>
    <w:basedOn w:val="a"/>
    <w:pPr>
      <w:spacing w:line="336" w:lineRule="atLeast"/>
      <w:ind w:left="480" w:hanging="240"/>
    </w:pPr>
  </w:style>
  <w:style w:type="paragraph" w:customStyle="1" w:styleId="sec2">
    <w:name w:val="sec2"/>
    <w:basedOn w:val="a"/>
    <w:pPr>
      <w:spacing w:line="336" w:lineRule="atLeast"/>
      <w:ind w:left="720" w:hanging="240"/>
    </w:pPr>
  </w:style>
  <w:style w:type="paragraph" w:customStyle="1" w:styleId="sec3">
    <w:name w:val="sec3"/>
    <w:basedOn w:val="a"/>
    <w:pPr>
      <w:spacing w:line="336" w:lineRule="atLeast"/>
      <w:ind w:left="960" w:hanging="240"/>
    </w:pPr>
  </w:style>
  <w:style w:type="paragraph" w:customStyle="1" w:styleId="sec4">
    <w:name w:val="sec4"/>
    <w:basedOn w:val="a"/>
    <w:pPr>
      <w:spacing w:line="336" w:lineRule="atLeast"/>
      <w:ind w:left="1200" w:hanging="240"/>
    </w:pPr>
  </w:style>
  <w:style w:type="paragraph" w:customStyle="1" w:styleId="sec5">
    <w:name w:val="sec5"/>
    <w:basedOn w:val="a"/>
    <w:pPr>
      <w:spacing w:line="336" w:lineRule="atLeast"/>
      <w:ind w:left="1440" w:hanging="240"/>
    </w:pPr>
  </w:style>
  <w:style w:type="paragraph" w:customStyle="1" w:styleId="sec6">
    <w:name w:val="sec6"/>
    <w:basedOn w:val="a"/>
    <w:pPr>
      <w:spacing w:line="336" w:lineRule="atLeast"/>
      <w:ind w:left="1680" w:hanging="240"/>
    </w:pPr>
  </w:style>
  <w:style w:type="paragraph" w:customStyle="1" w:styleId="sec7">
    <w:name w:val="sec7"/>
    <w:basedOn w:val="a"/>
    <w:pPr>
      <w:spacing w:line="336" w:lineRule="atLeast"/>
      <w:ind w:left="1920" w:hanging="240"/>
    </w:pPr>
  </w:style>
  <w:style w:type="paragraph" w:customStyle="1" w:styleId="sec8">
    <w:name w:val="sec8"/>
    <w:basedOn w:val="a"/>
    <w:pPr>
      <w:spacing w:line="336" w:lineRule="atLeast"/>
      <w:ind w:left="2160" w:hanging="240"/>
    </w:pPr>
  </w:style>
  <w:style w:type="paragraph" w:customStyle="1" w:styleId="sec02">
    <w:name w:val="sec0_2"/>
    <w:basedOn w:val="a"/>
    <w:pPr>
      <w:spacing w:before="240" w:line="336" w:lineRule="atLeast"/>
      <w:ind w:left="240" w:hanging="240"/>
    </w:pPr>
  </w:style>
  <w:style w:type="paragraph" w:customStyle="1" w:styleId="sec12">
    <w:name w:val="sec1_2"/>
    <w:basedOn w:val="a"/>
    <w:pPr>
      <w:spacing w:before="240" w:line="336" w:lineRule="atLeast"/>
      <w:ind w:left="480" w:hanging="240"/>
    </w:pPr>
  </w:style>
  <w:style w:type="paragraph" w:customStyle="1" w:styleId="sec22">
    <w:name w:val="sec2_2"/>
    <w:basedOn w:val="a"/>
    <w:pPr>
      <w:spacing w:before="240" w:line="336" w:lineRule="atLeast"/>
      <w:ind w:left="720" w:hanging="240"/>
    </w:pPr>
  </w:style>
  <w:style w:type="paragraph" w:customStyle="1" w:styleId="sec32">
    <w:name w:val="sec3_2"/>
    <w:basedOn w:val="a"/>
    <w:pPr>
      <w:spacing w:before="240" w:line="336" w:lineRule="atLeast"/>
      <w:ind w:left="960" w:hanging="240"/>
    </w:pPr>
  </w:style>
  <w:style w:type="paragraph" w:customStyle="1" w:styleId="sec42">
    <w:name w:val="sec4_2"/>
    <w:basedOn w:val="a"/>
    <w:pPr>
      <w:spacing w:before="240" w:line="336" w:lineRule="atLeast"/>
      <w:ind w:left="1200" w:hanging="240"/>
    </w:pPr>
  </w:style>
  <w:style w:type="paragraph" w:customStyle="1" w:styleId="sec52">
    <w:name w:val="sec5_2"/>
    <w:basedOn w:val="a"/>
    <w:pPr>
      <w:spacing w:before="240" w:line="336" w:lineRule="atLeast"/>
      <w:ind w:left="1440" w:hanging="240"/>
    </w:pPr>
  </w:style>
  <w:style w:type="paragraph" w:customStyle="1" w:styleId="sec62">
    <w:name w:val="sec6_2"/>
    <w:basedOn w:val="a"/>
    <w:pPr>
      <w:spacing w:before="240" w:line="336" w:lineRule="atLeast"/>
      <w:ind w:left="1680" w:hanging="240"/>
    </w:pPr>
  </w:style>
  <w:style w:type="paragraph" w:customStyle="1" w:styleId="sec72">
    <w:name w:val="sec7_2"/>
    <w:basedOn w:val="a"/>
    <w:pPr>
      <w:spacing w:before="240" w:line="336" w:lineRule="atLeast"/>
      <w:ind w:left="1920" w:hanging="240"/>
    </w:pPr>
  </w:style>
  <w:style w:type="paragraph" w:customStyle="1" w:styleId="sec82">
    <w:name w:val="sec8_2"/>
    <w:basedOn w:val="a"/>
    <w:pPr>
      <w:spacing w:before="240" w:line="336" w:lineRule="atLeast"/>
      <w:ind w:left="2160" w:hanging="240"/>
    </w:pPr>
  </w:style>
  <w:style w:type="paragraph" w:customStyle="1" w:styleId="sec03">
    <w:name w:val="sec0_3"/>
    <w:basedOn w:val="a"/>
    <w:pPr>
      <w:spacing w:line="336" w:lineRule="atLeast"/>
      <w:ind w:left="240" w:firstLine="240"/>
    </w:pPr>
  </w:style>
  <w:style w:type="paragraph" w:customStyle="1" w:styleId="sec13">
    <w:name w:val="sec1_3"/>
    <w:basedOn w:val="a"/>
    <w:pPr>
      <w:spacing w:line="336" w:lineRule="atLeast"/>
      <w:ind w:left="480" w:firstLine="240"/>
    </w:pPr>
  </w:style>
  <w:style w:type="paragraph" w:customStyle="1" w:styleId="sec23">
    <w:name w:val="sec2_3"/>
    <w:basedOn w:val="a"/>
    <w:pPr>
      <w:spacing w:line="336" w:lineRule="atLeast"/>
      <w:ind w:left="720" w:firstLine="240"/>
    </w:pPr>
  </w:style>
  <w:style w:type="paragraph" w:customStyle="1" w:styleId="sec33">
    <w:name w:val="sec3_3"/>
    <w:basedOn w:val="a"/>
    <w:pPr>
      <w:spacing w:line="336" w:lineRule="atLeast"/>
      <w:ind w:left="960" w:firstLine="240"/>
    </w:pPr>
  </w:style>
  <w:style w:type="paragraph" w:customStyle="1" w:styleId="sec43">
    <w:name w:val="sec4_3"/>
    <w:basedOn w:val="a"/>
    <w:pPr>
      <w:spacing w:line="336" w:lineRule="atLeast"/>
      <w:ind w:left="1200" w:firstLine="240"/>
    </w:pPr>
  </w:style>
  <w:style w:type="paragraph" w:customStyle="1" w:styleId="sec53">
    <w:name w:val="sec5_3"/>
    <w:basedOn w:val="a"/>
    <w:pPr>
      <w:spacing w:line="336" w:lineRule="atLeast"/>
      <w:ind w:left="1440" w:firstLine="240"/>
    </w:pPr>
  </w:style>
  <w:style w:type="paragraph" w:customStyle="1" w:styleId="sec63">
    <w:name w:val="sec6_3"/>
    <w:basedOn w:val="a"/>
    <w:pPr>
      <w:spacing w:line="336" w:lineRule="atLeast"/>
      <w:ind w:left="1680" w:firstLine="240"/>
    </w:pPr>
  </w:style>
  <w:style w:type="paragraph" w:customStyle="1" w:styleId="sec73">
    <w:name w:val="sec7_3"/>
    <w:basedOn w:val="a"/>
    <w:pPr>
      <w:spacing w:line="336" w:lineRule="atLeast"/>
      <w:ind w:left="1920" w:firstLine="240"/>
    </w:pPr>
  </w:style>
  <w:style w:type="paragraph" w:customStyle="1" w:styleId="sec83">
    <w:name w:val="sec8_3"/>
    <w:basedOn w:val="a"/>
    <w:pPr>
      <w:spacing w:line="336" w:lineRule="atLeast"/>
      <w:ind w:left="2160" w:firstLine="240"/>
    </w:pPr>
  </w:style>
  <w:style w:type="paragraph" w:customStyle="1" w:styleId="sectitle">
    <w:name w:val="sec_title"/>
    <w:basedOn w:val="a"/>
    <w:pPr>
      <w:spacing w:before="100" w:beforeAutospacing="1" w:after="100" w:afterAutospacing="1"/>
      <w:ind w:left="720"/>
    </w:pPr>
  </w:style>
  <w:style w:type="paragraph" w:customStyle="1" w:styleId="contrasttitle">
    <w:name w:val="contrasttitle"/>
    <w:basedOn w:val="a"/>
    <w:pPr>
      <w:spacing w:before="100" w:beforeAutospacing="1" w:after="100" w:afterAutospacing="1"/>
      <w:ind w:left="1200" w:right="1200"/>
    </w:pPr>
  </w:style>
  <w:style w:type="paragraph" w:customStyle="1" w:styleId="con">
    <w:name w:val="con"/>
    <w:basedOn w:val="a"/>
    <w:pPr>
      <w:spacing w:line="336" w:lineRule="atLeast"/>
      <w:ind w:left="360" w:hanging="240"/>
    </w:pPr>
  </w:style>
  <w:style w:type="paragraph" w:customStyle="1" w:styleId="con0">
    <w:name w:val="con0"/>
    <w:basedOn w:val="a"/>
    <w:pPr>
      <w:spacing w:line="336" w:lineRule="atLeast"/>
      <w:ind w:left="360" w:hanging="240"/>
    </w:pPr>
  </w:style>
  <w:style w:type="paragraph" w:customStyle="1" w:styleId="con1">
    <w:name w:val="con1"/>
    <w:basedOn w:val="a"/>
    <w:pPr>
      <w:spacing w:line="336" w:lineRule="atLeast"/>
      <w:ind w:left="600" w:hanging="240"/>
    </w:pPr>
  </w:style>
  <w:style w:type="paragraph" w:customStyle="1" w:styleId="con2">
    <w:name w:val="con2"/>
    <w:basedOn w:val="a"/>
    <w:pPr>
      <w:spacing w:line="336" w:lineRule="atLeast"/>
      <w:ind w:left="840" w:hanging="240"/>
    </w:pPr>
  </w:style>
  <w:style w:type="paragraph" w:customStyle="1" w:styleId="con3">
    <w:name w:val="con3"/>
    <w:basedOn w:val="a"/>
    <w:pPr>
      <w:spacing w:line="336" w:lineRule="atLeast"/>
      <w:ind w:left="1080" w:hanging="240"/>
    </w:pPr>
  </w:style>
  <w:style w:type="paragraph" w:customStyle="1" w:styleId="con4">
    <w:name w:val="con4"/>
    <w:basedOn w:val="a"/>
    <w:pPr>
      <w:spacing w:line="336" w:lineRule="atLeast"/>
      <w:ind w:left="1320" w:hanging="240"/>
    </w:pPr>
  </w:style>
  <w:style w:type="paragraph" w:customStyle="1" w:styleId="con5">
    <w:name w:val="con5"/>
    <w:basedOn w:val="a"/>
    <w:pPr>
      <w:spacing w:line="336" w:lineRule="atLeast"/>
      <w:ind w:left="1560" w:hanging="240"/>
    </w:pPr>
  </w:style>
  <w:style w:type="paragraph" w:customStyle="1" w:styleId="con6">
    <w:name w:val="con6"/>
    <w:basedOn w:val="a"/>
    <w:pPr>
      <w:spacing w:line="336" w:lineRule="atLeast"/>
      <w:ind w:left="1800" w:hanging="240"/>
    </w:pPr>
  </w:style>
  <w:style w:type="paragraph" w:customStyle="1" w:styleId="con7">
    <w:name w:val="con7"/>
    <w:basedOn w:val="a"/>
    <w:pPr>
      <w:spacing w:line="336" w:lineRule="atLeast"/>
      <w:ind w:left="2040" w:hanging="240"/>
    </w:pPr>
  </w:style>
  <w:style w:type="paragraph" w:customStyle="1" w:styleId="con8">
    <w:name w:val="con8"/>
    <w:basedOn w:val="a"/>
    <w:pPr>
      <w:spacing w:line="336" w:lineRule="atLeast"/>
      <w:ind w:left="2280" w:hanging="240"/>
    </w:pPr>
  </w:style>
  <w:style w:type="paragraph" w:customStyle="1" w:styleId="con01">
    <w:name w:val="con0_1"/>
    <w:basedOn w:val="a"/>
    <w:pPr>
      <w:spacing w:line="336" w:lineRule="atLeast"/>
      <w:ind w:left="120" w:firstLine="240"/>
    </w:pPr>
  </w:style>
  <w:style w:type="paragraph" w:customStyle="1" w:styleId="con11">
    <w:name w:val="con1_1"/>
    <w:basedOn w:val="a"/>
    <w:pPr>
      <w:spacing w:line="336" w:lineRule="atLeast"/>
      <w:ind w:left="360" w:firstLine="240"/>
    </w:pPr>
  </w:style>
  <w:style w:type="paragraph" w:customStyle="1" w:styleId="con21">
    <w:name w:val="con2_1"/>
    <w:basedOn w:val="a"/>
    <w:pPr>
      <w:spacing w:line="336" w:lineRule="atLeast"/>
      <w:ind w:left="600" w:firstLine="240"/>
    </w:pPr>
  </w:style>
  <w:style w:type="paragraph" w:customStyle="1" w:styleId="con31">
    <w:name w:val="con3_1"/>
    <w:basedOn w:val="a"/>
    <w:pPr>
      <w:spacing w:line="336" w:lineRule="atLeast"/>
      <w:ind w:left="840" w:firstLine="240"/>
    </w:pPr>
  </w:style>
  <w:style w:type="paragraph" w:customStyle="1" w:styleId="con41">
    <w:name w:val="con4_1"/>
    <w:basedOn w:val="a"/>
    <w:pPr>
      <w:spacing w:line="336" w:lineRule="atLeast"/>
      <w:ind w:left="1080" w:firstLine="240"/>
    </w:pPr>
  </w:style>
  <w:style w:type="paragraph" w:customStyle="1" w:styleId="con51">
    <w:name w:val="con5_1"/>
    <w:basedOn w:val="a"/>
    <w:pPr>
      <w:spacing w:line="336" w:lineRule="atLeast"/>
      <w:ind w:left="1320" w:firstLine="240"/>
    </w:pPr>
  </w:style>
  <w:style w:type="paragraph" w:customStyle="1" w:styleId="con61">
    <w:name w:val="con6_1"/>
    <w:basedOn w:val="a"/>
    <w:pPr>
      <w:spacing w:line="336" w:lineRule="atLeast"/>
      <w:ind w:left="1560" w:firstLine="240"/>
    </w:pPr>
  </w:style>
  <w:style w:type="paragraph" w:customStyle="1" w:styleId="con71">
    <w:name w:val="con7_1"/>
    <w:basedOn w:val="a"/>
    <w:pPr>
      <w:spacing w:line="336" w:lineRule="atLeast"/>
      <w:ind w:left="1800" w:firstLine="240"/>
    </w:pPr>
  </w:style>
  <w:style w:type="paragraph" w:customStyle="1" w:styleId="con81">
    <w:name w:val="con8_1"/>
    <w:basedOn w:val="a"/>
    <w:pPr>
      <w:spacing w:line="336" w:lineRule="atLeast"/>
      <w:ind w:left="2040" w:firstLine="240"/>
    </w:pPr>
  </w:style>
  <w:style w:type="paragraph" w:customStyle="1" w:styleId="detailindent">
    <w:name w:val="detailindent"/>
    <w:basedOn w:val="a"/>
    <w:pPr>
      <w:spacing w:line="336" w:lineRule="atLeast"/>
      <w:ind w:left="240"/>
    </w:pPr>
  </w:style>
  <w:style w:type="paragraph" w:customStyle="1" w:styleId="formtitle">
    <w:name w:val="formtitle"/>
    <w:basedOn w:val="a"/>
    <w:pPr>
      <w:spacing w:line="336" w:lineRule="atLeast"/>
      <w:ind w:left="480"/>
    </w:pPr>
  </w:style>
  <w:style w:type="paragraph" w:customStyle="1" w:styleId="titlename">
    <w:name w:val="titlename"/>
    <w:basedOn w:val="a"/>
    <w:pPr>
      <w:spacing w:line="336" w:lineRule="atLeast"/>
      <w:ind w:left="720"/>
    </w:pPr>
  </w:style>
  <w:style w:type="paragraph" w:customStyle="1" w:styleId="stepindent0">
    <w:name w:val="stepindent0"/>
    <w:basedOn w:val="a"/>
    <w:pPr>
      <w:spacing w:line="336" w:lineRule="atLeast"/>
      <w:ind w:left="-240" w:firstLine="240"/>
    </w:pPr>
  </w:style>
  <w:style w:type="paragraph" w:customStyle="1" w:styleId="stepindent1">
    <w:name w:val="stepindent1"/>
    <w:basedOn w:val="a"/>
    <w:pPr>
      <w:spacing w:line="336" w:lineRule="atLeast"/>
      <w:ind w:firstLine="240"/>
    </w:pPr>
  </w:style>
  <w:style w:type="paragraph" w:customStyle="1" w:styleId="stepindent2">
    <w:name w:val="stepindent2"/>
    <w:basedOn w:val="a"/>
    <w:pPr>
      <w:spacing w:line="336" w:lineRule="atLeast"/>
      <w:ind w:left="240" w:firstLine="240"/>
    </w:pPr>
  </w:style>
  <w:style w:type="paragraph" w:customStyle="1" w:styleId="stepindent3">
    <w:name w:val="stepindent3"/>
    <w:basedOn w:val="a"/>
    <w:pPr>
      <w:spacing w:line="336" w:lineRule="atLeast"/>
      <w:ind w:left="480" w:firstLine="240"/>
    </w:pPr>
  </w:style>
  <w:style w:type="paragraph" w:customStyle="1" w:styleId="stepindent4">
    <w:name w:val="stepindent4"/>
    <w:basedOn w:val="a"/>
    <w:pPr>
      <w:spacing w:line="336" w:lineRule="atLeast"/>
      <w:ind w:left="720" w:firstLine="240"/>
    </w:pPr>
  </w:style>
  <w:style w:type="paragraph" w:customStyle="1" w:styleId="stepindent5">
    <w:name w:val="stepindent5"/>
    <w:basedOn w:val="a"/>
    <w:pPr>
      <w:spacing w:line="336" w:lineRule="atLeast"/>
      <w:ind w:left="960" w:firstLine="240"/>
    </w:pPr>
  </w:style>
  <w:style w:type="paragraph" w:customStyle="1" w:styleId="stepindent6">
    <w:name w:val="stepindent6"/>
    <w:basedOn w:val="a"/>
    <w:pPr>
      <w:spacing w:line="336" w:lineRule="atLeast"/>
      <w:ind w:left="1200" w:firstLine="240"/>
    </w:pPr>
  </w:style>
  <w:style w:type="paragraph" w:customStyle="1" w:styleId="stepindent7">
    <w:name w:val="stepindent7"/>
    <w:basedOn w:val="a"/>
    <w:pPr>
      <w:spacing w:line="336" w:lineRule="atLeast"/>
      <w:ind w:left="1440" w:firstLine="240"/>
    </w:pPr>
  </w:style>
  <w:style w:type="paragraph" w:customStyle="1" w:styleId="stepindent8">
    <w:name w:val="stepindent8"/>
    <w:basedOn w:val="a"/>
    <w:pPr>
      <w:spacing w:line="336" w:lineRule="atLeast"/>
      <w:ind w:left="1680" w:firstLine="240"/>
    </w:pPr>
  </w:style>
  <w:style w:type="paragraph" w:customStyle="1" w:styleId="additionalinfo">
    <w:name w:val="additionalinfo"/>
    <w:basedOn w:val="a"/>
    <w:pPr>
      <w:spacing w:line="360" w:lineRule="atLeast"/>
      <w:ind w:left="960"/>
    </w:pPr>
    <w:rPr>
      <w:sz w:val="18"/>
      <w:szCs w:val="18"/>
    </w:rPr>
  </w:style>
  <w:style w:type="paragraph" w:customStyle="1" w:styleId="historyinfo">
    <w:name w:val="historyinfo"/>
    <w:basedOn w:val="a"/>
    <w:pPr>
      <w:spacing w:line="360" w:lineRule="atLeast"/>
      <w:ind w:left="120"/>
    </w:pPr>
    <w:rPr>
      <w:sz w:val="18"/>
      <w:szCs w:val="18"/>
    </w:rPr>
  </w:style>
  <w:style w:type="paragraph" w:customStyle="1" w:styleId="menutitle">
    <w:name w:val="menutitle"/>
    <w:basedOn w:val="a"/>
    <w:pPr>
      <w:pBdr>
        <w:left w:val="single" w:sz="48" w:space="2" w:color="666666"/>
        <w:bottom w:val="single" w:sz="6" w:space="0" w:color="666666"/>
      </w:pBdr>
      <w:ind w:left="960"/>
    </w:pPr>
  </w:style>
  <w:style w:type="character" w:customStyle="1" w:styleId="histtitle">
    <w:name w:val="histtitle"/>
    <w:basedOn w:val="a0"/>
    <w:rPr>
      <w:rFonts w:cs="Times New Roman"/>
      <w:b/>
      <w:bCs/>
    </w:rPr>
  </w:style>
  <w:style w:type="character" w:customStyle="1" w:styleId="searchword1">
    <w:name w:val="searchword1"/>
    <w:basedOn w:val="a0"/>
    <w:rPr>
      <w:rFonts w:cs="Times New Roman"/>
      <w:shd w:val="clear" w:color="auto" w:fill="FF66FF"/>
    </w:rPr>
  </w:style>
  <w:style w:type="character" w:customStyle="1" w:styleId="searchword2">
    <w:name w:val="searchword2"/>
    <w:basedOn w:val="a0"/>
    <w:rPr>
      <w:rFonts w:cs="Times New Roman"/>
      <w:shd w:val="clear" w:color="auto" w:fill="66CCFF"/>
    </w:rPr>
  </w:style>
  <w:style w:type="character" w:customStyle="1" w:styleId="searchword3">
    <w:name w:val="searchword3"/>
    <w:basedOn w:val="a0"/>
    <w:rPr>
      <w:rFonts w:cs="Times New Roman"/>
      <w:shd w:val="clear" w:color="auto" w:fill="FFCC00"/>
    </w:rPr>
  </w:style>
  <w:style w:type="character" w:customStyle="1" w:styleId="searchword4">
    <w:name w:val="searchword4"/>
    <w:basedOn w:val="a0"/>
    <w:rPr>
      <w:rFonts w:cs="Times New Roman"/>
      <w:shd w:val="clear" w:color="auto" w:fill="FF9999"/>
    </w:rPr>
  </w:style>
  <w:style w:type="character" w:customStyle="1" w:styleId="searchword5">
    <w:name w:val="searchword5"/>
    <w:basedOn w:val="a0"/>
    <w:rPr>
      <w:rFonts w:cs="Times New Roman"/>
      <w:shd w:val="clear" w:color="auto" w:fill="33FFCC"/>
    </w:rPr>
  </w:style>
  <w:style w:type="character" w:customStyle="1" w:styleId="add">
    <w:name w:val="add"/>
    <w:basedOn w:val="a0"/>
    <w:rPr>
      <w:rFonts w:cs="Times New Roman"/>
      <w:shd w:val="clear" w:color="auto" w:fill="99CCFF"/>
    </w:rPr>
  </w:style>
  <w:style w:type="character" w:customStyle="1" w:styleId="del">
    <w:name w:val="del"/>
    <w:basedOn w:val="a0"/>
    <w:rPr>
      <w:rFonts w:cs="Times New Roman"/>
      <w:strike/>
      <w:shd w:val="clear" w:color="auto" w:fill="FF9999"/>
    </w:rPr>
  </w:style>
  <w:style w:type="character" w:customStyle="1" w:styleId="numchange">
    <w:name w:val="num_change"/>
    <w:basedOn w:val="a0"/>
    <w:rPr>
      <w:rFonts w:cs="Times New Roman"/>
      <w:color w:val="339933"/>
    </w:rPr>
  </w:style>
  <w:style w:type="character" w:customStyle="1" w:styleId="remarkletter">
    <w:name w:val="remark_letter"/>
    <w:basedOn w:val="a0"/>
    <w:rPr>
      <w:rFonts w:cs="Times New Roman"/>
      <w:shd w:val="clear" w:color="auto" w:fill="FFFF00"/>
    </w:rPr>
  </w:style>
  <w:style w:type="character" w:customStyle="1" w:styleId="comment">
    <w:name w:val="comment"/>
    <w:basedOn w:val="a0"/>
    <w:rPr>
      <w:rFonts w:ascii="lr oSVbN" w:hAnsi="lr oSVbN" w:cs="Times New Roman"/>
      <w:b/>
      <w:bCs/>
      <w:color w:val="FF0000"/>
      <w:sz w:val="18"/>
      <w:szCs w:val="18"/>
    </w:rPr>
  </w:style>
  <w:style w:type="character" w:customStyle="1" w:styleId="string">
    <w:name w:val="string"/>
    <w:basedOn w:val="a0"/>
    <w:rPr>
      <w:rFonts w:cs="Times New Roman"/>
      <w:noProof/>
      <w:color w:val="FFFFFF"/>
      <w:kern w:val="0"/>
    </w:rPr>
  </w:style>
  <w:style w:type="paragraph" w:styleId="a5">
    <w:name w:val="header"/>
    <w:basedOn w:val="a"/>
    <w:link w:val="a6"/>
    <w:uiPriority w:val="99"/>
    <w:unhideWhenUsed/>
    <w:rsid w:val="00187AE2"/>
    <w:pPr>
      <w:tabs>
        <w:tab w:val="center" w:pos="4252"/>
        <w:tab w:val="right" w:pos="8504"/>
      </w:tabs>
      <w:snapToGrid w:val="0"/>
    </w:pPr>
  </w:style>
  <w:style w:type="character" w:customStyle="1" w:styleId="a6">
    <w:name w:val="ヘッダー (文字)"/>
    <w:basedOn w:val="a0"/>
    <w:link w:val="a5"/>
    <w:uiPriority w:val="99"/>
    <w:locked/>
    <w:rsid w:val="00187AE2"/>
    <w:rPr>
      <w:rFonts w:ascii="ＭＳ 明朝" w:eastAsia="ＭＳ 明朝" w:hAnsi="ＭＳ 明朝" w:cs="ＭＳ 明朝"/>
      <w:sz w:val="24"/>
      <w:szCs w:val="24"/>
    </w:rPr>
  </w:style>
  <w:style w:type="paragraph" w:styleId="a7">
    <w:name w:val="footer"/>
    <w:basedOn w:val="a"/>
    <w:link w:val="a8"/>
    <w:uiPriority w:val="99"/>
    <w:unhideWhenUsed/>
    <w:rsid w:val="00187AE2"/>
    <w:pPr>
      <w:tabs>
        <w:tab w:val="center" w:pos="4252"/>
        <w:tab w:val="right" w:pos="8504"/>
      </w:tabs>
      <w:snapToGrid w:val="0"/>
    </w:pPr>
  </w:style>
  <w:style w:type="character" w:customStyle="1" w:styleId="a8">
    <w:name w:val="フッター (文字)"/>
    <w:basedOn w:val="a0"/>
    <w:link w:val="a7"/>
    <w:uiPriority w:val="99"/>
    <w:locked/>
    <w:rsid w:val="00187AE2"/>
    <w:rPr>
      <w:rFonts w:ascii="ＭＳ 明朝" w:eastAsia="ＭＳ 明朝" w:hAnsi="ＭＳ 明朝" w:cs="ＭＳ 明朝"/>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277</Words>
  <Characters>1581</Characters>
  <Application>Microsoft Office Word</Application>
  <DocSecurity>0</DocSecurity>
  <Lines>13</Lines>
  <Paragraphs>3</Paragraphs>
  <ScaleCrop>false</ScaleCrop>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津久見市地域子育て支援センター事業実施要綱</dc:title>
  <dc:subject/>
  <dc:creator>Administrator</dc:creator>
  <cp:keywords/>
  <dc:description/>
  <cp:lastModifiedBy>tsukumi</cp:lastModifiedBy>
  <cp:revision>2</cp:revision>
  <dcterms:created xsi:type="dcterms:W3CDTF">2026-11-02T02:41:00Z</dcterms:created>
  <dcterms:modified xsi:type="dcterms:W3CDTF">2026-11-02T02:41:00Z</dcterms:modified>
</cp:coreProperties>
</file>